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spacing w:lineRule="auto" w:line="240"/>
        <w:jc w:val="right"/>
        <w:rPr/>
      </w:pPr>
      <w:r>
        <w:rPr>
          <w:rFonts w:cs="Times New Roman" w:ascii="Times New Roman" w:hAnsi="Times New Roman"/>
          <w:sz w:val="28"/>
          <w:szCs w:val="28"/>
        </w:rPr>
        <w:t xml:space="preserve">Приложение №1 </w:t>
      </w:r>
    </w:p>
    <w:p>
      <w:pPr>
        <w:pStyle w:val="NoSpacing"/>
        <w:spacing w:lineRule="auto" w:line="240"/>
        <w:jc w:val="right"/>
        <w:rPr/>
      </w:pPr>
      <w:r>
        <w:rPr>
          <w:rFonts w:cs="Times New Roman" w:ascii="Times New Roman" w:hAnsi="Times New Roman"/>
          <w:sz w:val="28"/>
          <w:szCs w:val="28"/>
        </w:rPr>
        <w:t>Утверждено приказом</w:t>
      </w:r>
    </w:p>
    <w:p>
      <w:pPr>
        <w:pStyle w:val="NoSpacing"/>
        <w:spacing w:lineRule="auto" w:line="240"/>
        <w:jc w:val="right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КУВО «УСЗН Хохольского района»</w:t>
      </w:r>
    </w:p>
    <w:p>
      <w:pPr>
        <w:pStyle w:val="NoSpacing"/>
        <w:spacing w:lineRule="auto" w:line="240"/>
        <w:jc w:val="right"/>
        <w:rPr/>
      </w:pPr>
      <w:r>
        <w:rPr>
          <w:rFonts w:cs="Times New Roman" w:ascii="Times New Roman" w:hAnsi="Times New Roman"/>
          <w:sz w:val="28"/>
          <w:szCs w:val="28"/>
        </w:rPr>
        <w:t>№</w:t>
      </w:r>
      <w:r>
        <w:rPr>
          <w:rFonts w:cs="Times New Roman" w:ascii="Times New Roman" w:hAnsi="Times New Roman"/>
          <w:sz w:val="28"/>
          <w:szCs w:val="28"/>
        </w:rPr>
        <w:t>_____ от ____________</w:t>
      </w:r>
    </w:p>
    <w:p>
      <w:pPr>
        <w:pStyle w:val="NoSpacing"/>
        <w:spacing w:lineRule="auto" w:line="240"/>
        <w:jc w:val="right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Spacing"/>
        <w:spacing w:lineRule="auto" w:line="24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Положение</w:t>
      </w:r>
    </w:p>
    <w:p>
      <w:pPr>
        <w:pStyle w:val="NoSpacing"/>
        <w:spacing w:lineRule="auto" w:line="24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о пункте проката технических средств реабилитации и ухода</w:t>
      </w:r>
    </w:p>
    <w:p>
      <w:pPr>
        <w:pStyle w:val="NoSpacing"/>
        <w:spacing w:lineRule="auto" w:line="2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spacing w:lineRule="auto" w:line="24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1.Общие положения</w:t>
      </w:r>
    </w:p>
    <w:p>
      <w:pPr>
        <w:pStyle w:val="NoSpacing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1.1 Настоящее Положение устанавливает порядок работы пункта проката технических средств реабилитации и ухода (далее – Пункт проката) , который создается на базе казенного учреждения Воронежской области «Управление социальной защиты населения Хохольского района</w:t>
      </w:r>
      <w:bookmarkStart w:id="0" w:name="_GoBack"/>
      <w:bookmarkEnd w:id="0"/>
      <w:r>
        <w:rPr>
          <w:rFonts w:cs="Times New Roman" w:ascii="Times New Roman" w:hAnsi="Times New Roman"/>
          <w:sz w:val="28"/>
          <w:szCs w:val="28"/>
        </w:rPr>
        <w:t>» (далее – Учреждение)</w:t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1.2. Основной целью пункта проката является  обеспечение предоставления гражданам во временное пользование технических средств реабилитации и ухода.</w:t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1.3. Предоставление технических средств реабилитации во временное пользование осуществляется на основании заявления, поданного гражданином, его законным представителем в пункт проката.</w:t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1.4.   Сведения об обращении за техническими средствами реабилитации, их выдаче и возврате вносятся и хранятся в ведомственной информационной системе, доступ к которой обеспечен в пункте проката</w:t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1.5. Правом на получение технических средств реабилитации во временное пользование обладают граждане, признанные нуждающимися в социальных услугах по уходу в системе долговременного ухода. Технические средства реабилитации выдаются во временное пользование бесплатно </w:t>
      </w:r>
      <w:r>
        <w:rPr>
          <w:rFonts w:cs="Times New Roman" w:ascii="Times New Roman" w:hAnsi="Times New Roman"/>
          <w:sz w:val="28"/>
          <w:szCs w:val="28"/>
          <w:shd w:fill="FFFF00" w:val="clear"/>
        </w:rPr>
        <w:t>в приоритетном порядке.</w:t>
      </w:r>
    </w:p>
    <w:p>
      <w:pPr>
        <w:pStyle w:val="Normal"/>
        <w:widowControl/>
        <w:suppressAutoHyphens w:val="true"/>
        <w:bidi w:val="0"/>
        <w:spacing w:lineRule="auto" w:line="240" w:before="0" w:after="160"/>
        <w:ind w:left="0" w:right="0" w:firstLine="283"/>
        <w:jc w:val="both"/>
        <w:rPr/>
      </w:pPr>
      <w:r>
        <w:rPr>
          <w:rFonts w:cs="Times New Roman" w:ascii="Times New Roman" w:hAnsi="Times New Roman"/>
          <w:sz w:val="28"/>
          <w:szCs w:val="28"/>
          <w:shd w:fill="FFFF00" w:val="clear"/>
        </w:rPr>
        <w:t>Предоставление технических средств реабилитации во временное пользование гражданам, не признанным нуждающимися в уходе, осуществляется в порядке, установленном поставщиком социальных услуг.</w:t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1.6. Предоставление технических средств реабилитации и ухода, предусмотренных индивидуальной программой реабилитации и абилитации инвалида, пунктом проката во временное пользование осуществляется в случаях:</w:t>
      </w:r>
    </w:p>
    <w:p>
      <w:pPr>
        <w:pStyle w:val="ListParagraph"/>
        <w:widowControl w:val="false"/>
        <w:numPr>
          <w:ilvl w:val="0"/>
          <w:numId w:val="1"/>
        </w:numPr>
        <w:suppressAutoHyphens w:val="false"/>
        <w:spacing w:lineRule="auto" w:line="240" w:before="0" w:after="0"/>
        <w:ind w:left="129" w:right="132" w:hanging="12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до их первичного получения в территориальных органах Фонда пенсионного и социального страхования Российской Федерации;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709" w:leader="none"/>
        </w:tabs>
        <w:suppressAutoHyphens w:val="false"/>
        <w:spacing w:lineRule="auto" w:line="240" w:before="143" w:after="0"/>
        <w:ind w:left="129" w:right="125" w:hanging="129"/>
        <w:contextualSpacing w:val="false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до их получения   в территориальных органах   Фонда   пенсионного   и социального страхования Российской Федерации в связи с заменой (истечение срока пользования или неисправность).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08"/>
          <w:tab w:val="left" w:pos="709" w:leader="none"/>
        </w:tabs>
        <w:suppressAutoHyphens w:val="false"/>
        <w:spacing w:lineRule="auto" w:line="240" w:before="143" w:after="0"/>
        <w:ind w:left="129" w:right="125" w:hanging="0"/>
        <w:contextualSpacing w:val="false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1.7.  Отношения между Учреждением и гражданином регулируются договором о предоставлении во временное пользование технических средств реабилитации и ухода (далее – Договор). Договор заключается на срок до одного года. По соглашению сторон Договор может быть возобновлен на новый срок. По истечении срока, указанного в Договоре, техническое средство реабилитации возвращается гражданином в Пункт проката.</w:t>
      </w:r>
    </w:p>
    <w:p>
      <w:pPr>
        <w:pStyle w:val="Normal"/>
        <w:widowControl w:val="false"/>
        <w:tabs>
          <w:tab w:val="clear" w:pos="708"/>
          <w:tab w:val="left" w:pos="1245" w:leader="none"/>
        </w:tabs>
        <w:suppressAutoHyphens w:val="false"/>
        <w:spacing w:lineRule="auto" w:line="240" w:before="0" w:after="0"/>
        <w:ind w:right="125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1.8. Выдача технических средств реабилитации и ухода гражданину, нуждающемуся в уходе, его законному представителю и возврат технических средств реабилитации и ухода обратно осуществляются согласно акту приема-передачи.</w:t>
      </w:r>
    </w:p>
    <w:p>
      <w:pPr>
        <w:pStyle w:val="Normal"/>
        <w:widowControl w:val="false"/>
        <w:tabs>
          <w:tab w:val="clear" w:pos="708"/>
          <w:tab w:val="left" w:pos="1245" w:leader="none"/>
        </w:tabs>
        <w:suppressAutoHyphens w:val="false"/>
        <w:spacing w:lineRule="auto" w:line="240" w:before="0" w:after="0"/>
        <w:ind w:right="125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2.Организация деятельности Пункта проката</w:t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2.1. Директор Учреждения создает условия для организации деятельности Пункта проката и выделяет помещение для хранения ТСР.</w:t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2.2. Директор учреждения определяет материально ответственное лицо, с которым заключается договор о полной материальной ответственности по приему, хранению, выдаче ТСР.</w:t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2.3. Учет ТСР, выданных гражданам, ведется в Журнале учета выданных ТСР по форме согласно Приложению №1 к настоящему Положению.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3. Порядок предоставления ТСР</w:t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3.1. ТСР предоставляется во временное пользование на основании личного заявления гражданина и (или) законного представителя (далее – заявитель) по форме, согласно Приложению №2 к настоящему Положению и Договора по форме, согласно Приложению №3 к настоящему Положению.</w:t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3.2. ТСР выдаются по предъявлении следующих документов:</w:t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 документа, удостоверяющего личность заявителя;</w:t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sz w:val="28"/>
          <w:szCs w:val="28"/>
          <w:shd w:fill="FFFF00" w:val="clear"/>
        </w:rPr>
        <w:t>- страхового свидетельства обязательного пенсионного страхования, содержащего страховой номер индивидуального лицевого счета (СНИЛС);</w:t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документа, подтверждающего регистрацию по месту жительства (пребывания) в Воронежской области (если эти сведения не содержатся в документе, удостоверяющем личность);</w:t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sz w:val="28"/>
          <w:szCs w:val="28"/>
          <w:shd w:fill="FFFF00" w:val="clear"/>
        </w:rPr>
        <w:t>- выписки из карты амбулаторного (стационарного) больного о нуждаемости в ТСР с указанием наименования изделия;</w:t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 </w:t>
      </w:r>
      <w:r>
        <w:rPr>
          <w:rFonts w:cs="Times New Roman" w:ascii="Times New Roman" w:hAnsi="Times New Roman"/>
          <w:color w:val="000000"/>
          <w:sz w:val="28"/>
          <w:szCs w:val="28"/>
        </w:rPr>
        <w:t>индивидуальная программа реабилитации и абилитации инвалида;</w:t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согласия на обработку персональных данных по форме, согласно Приложению №4 к настоящему Положению.</w:t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    </w:t>
      </w:r>
      <w:r>
        <w:rPr>
          <w:rFonts w:cs="Times New Roman" w:ascii="Times New Roman" w:hAnsi="Times New Roman"/>
          <w:sz w:val="28"/>
          <w:szCs w:val="28"/>
        </w:rPr>
        <w:t>В случае подачи документов законным представителем заявителя дополнительно предъявляется документ, подтверждающий полномочия законного представителя.</w:t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3.3 ТСР выдается во временное пользование в исправном состоянии. Проверка исправности ТСР производится в присутствии заявителя или законного представителя.</w:t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3.4. При выдаче ТСР заявителя знакомят с правилами эксплуатации и техники безопасности ТСР, в случае необходимости ему выдаются письменные инструкции о пользовании ТСР.</w:t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3.5. Предоставляя во временное пользование ТСР, учреждение предупреждает заявителя (законного представителя) об ответственности при повреждении и умышленной порче выданного во временное пользование ТСР в соответствии с условиями Договора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Приложение 5.</w:t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3.6. Если день возврата ТСР совпадает с выходным днем Учреждения, то ТСР должно быть возвращено в  следующий за ним рабочий день.</w:t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3.7. Заявитель обязан вернуть ТСР в технически исправном состоянии и в срок, определенный Договором.</w:t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3.8. В случае утраты ТСР заявитель обязан возместить его оценочную стоимость.</w:t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3.9. Заявитель уведомляет Учреждение о возникшей неисправности ТСР в процессе эксплуатации.</w:t>
      </w:r>
    </w:p>
    <w:p>
      <w:pPr>
        <w:pStyle w:val="Normal"/>
        <w:widowControl w:val="false"/>
        <w:tabs>
          <w:tab w:val="clear" w:pos="708"/>
          <w:tab w:val="left" w:pos="1249" w:leader="none"/>
        </w:tabs>
        <w:suppressAutoHyphens w:val="false"/>
        <w:spacing w:lineRule="auto" w:line="240" w:before="0" w:after="0"/>
        <w:ind w:right="114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3.10  Пункт проката может пополнять фонд TCP, в том числе за счет приема у граждан исправных TCP, бывших в употреблении. После приема или возврата TCP в пункт проката они подлежат дезинфекции.</w:t>
      </w:r>
    </w:p>
    <w:p>
      <w:pPr>
        <w:pStyle w:val="Normal"/>
        <w:widowControl w:val="false"/>
        <w:tabs>
          <w:tab w:val="clear" w:pos="708"/>
          <w:tab w:val="left" w:pos="1249" w:leader="none"/>
        </w:tabs>
        <w:suppressAutoHyphens w:val="false"/>
        <w:spacing w:lineRule="auto" w:line="240" w:before="0" w:after="0"/>
        <w:ind w:right="114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/>
      </w:pPr>
      <w:r>
        <w:rPr>
          <w:rFonts w:cs="Times New Roman" w:ascii="Times New Roman" w:hAnsi="Times New Roman"/>
          <w:sz w:val="28"/>
          <w:szCs w:val="28"/>
          <w:shd w:fill="FFFF00" w:val="clear"/>
        </w:rPr>
        <w:t>4. Порядок оплаты услуг Пункта проката</w:t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4.1.  </w:t>
      </w:r>
      <w:r>
        <w:rPr>
          <w:rFonts w:cs="Times New Roman" w:ascii="Times New Roman" w:hAnsi="Times New Roman"/>
          <w:sz w:val="28"/>
          <w:szCs w:val="28"/>
          <w:shd w:fill="FFFF00" w:val="clear"/>
        </w:rPr>
        <w:t>Гражданам, признанным нуждающимся в социальных услуга по уходу в рамках СДУ, технические средства реабилитации выдаются во временное пользование бесплатно. Во всех остальных случаях Пункт проката предоставляет заявителю во временное пользование ТСР за плату в соответствии с утвержденными Учреждением тарифами (Приложение 6).</w:t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sz w:val="28"/>
          <w:szCs w:val="28"/>
          <w:shd w:fill="FFFF00" w:val="clear"/>
        </w:rPr>
        <w:t>4.2. Тариф рассчитывается в соответствии с методикой расчета суточного тарифа услуги, оказываемой пунктами проката ТСР отдельным категориям граждан во временное пользование согласно Приложению № 7  к настоящему Положению.</w:t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sz w:val="28"/>
          <w:szCs w:val="28"/>
          <w:shd w:fill="FFFF00" w:val="clear"/>
        </w:rPr>
        <w:t>4.3. При получении ТСР заявитель вносит стоимость, предусмотренную Договором.</w:t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sz w:val="28"/>
          <w:szCs w:val="28"/>
          <w:shd w:fill="FFFF00" w:val="clear"/>
        </w:rPr>
        <w:t>4.4. При возврате заявителем ТСР ранее срока, указанного в Договоре, Учреждение производит перерасчет за пользование ТСР по фактическому сроку проката. Число дней пользования ТСР исчисляется в календарных днях.</w:t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sz w:val="28"/>
          <w:szCs w:val="28"/>
          <w:shd w:fill="FFFF00" w:val="clear"/>
        </w:rPr>
        <w:t>4.5. Если день возврата ТСР совпадает с выходным днем Учреждения, то ТСР должно быть возвращено в  следующий за ним рабочий день.</w:t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sz w:val="28"/>
          <w:szCs w:val="28"/>
          <w:shd w:fill="FFFF00" w:val="clear"/>
        </w:rPr>
        <w:t>4.6. Заявитель обязан вернуть ТСР в технически исправном состоянии и в срок, определенный Договором.</w:t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sz w:val="28"/>
          <w:szCs w:val="28"/>
          <w:shd w:fill="FFFF00" w:val="clear"/>
        </w:rPr>
        <w:t>4.7. В случае утраты ТСР заявитель обязан возместить его оценочную стоимость.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134" w:right="567" w:gutter="0" w:header="0" w:top="709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129" w:hanging="303"/>
      </w:pPr>
      <w:rPr>
        <w:sz w:val="28"/>
        <w:szCs w:val="28"/>
        <w:w w:val="99"/>
        <w:rFonts w:ascii="Times New Roman" w:hAnsi="Times New Roman" w:eastAsia="Calibri" w:cs="Times New Roman" w:eastAsiaTheme="minorHAnsi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54" w:hanging="30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88" w:hanging="30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22" w:hanging="30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57" w:hanging="30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91" w:hanging="30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25" w:hanging="30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60" w:hanging="30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94" w:hanging="303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1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571a6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f67b21"/>
    <w:rPr>
      <w:rFonts w:ascii="Segoe UI" w:hAnsi="Segoe UI" w:cs="Segoe UI"/>
      <w:sz w:val="18"/>
      <w:szCs w:val="18"/>
    </w:rPr>
  </w:style>
  <w:style w:type="character" w:styleId="Style15" w:customStyle="1">
    <w:name w:val="Символ нумерации"/>
    <w:qFormat/>
    <w:rsid w:val="0029202d"/>
    <w:rPr/>
  </w:style>
  <w:style w:type="paragraph" w:styleId="Style16" w:customStyle="1">
    <w:name w:val="Заголовок"/>
    <w:basedOn w:val="Normal"/>
    <w:next w:val="Style17"/>
    <w:qFormat/>
    <w:rsid w:val="0029202d"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7">
    <w:name w:val="Body Text"/>
    <w:basedOn w:val="Normal"/>
    <w:rsid w:val="0029202d"/>
    <w:pPr>
      <w:spacing w:lineRule="auto" w:line="276" w:before="0" w:after="140"/>
    </w:pPr>
    <w:rPr/>
  </w:style>
  <w:style w:type="paragraph" w:styleId="Style18">
    <w:name w:val="List"/>
    <w:basedOn w:val="Style17"/>
    <w:rsid w:val="0029202d"/>
    <w:pPr/>
    <w:rPr>
      <w:rFonts w:ascii="PT Astra Serif" w:hAnsi="PT Astra Serif" w:cs="Noto Sans Devanagari"/>
    </w:rPr>
  </w:style>
  <w:style w:type="paragraph" w:styleId="Style19" w:customStyle="1">
    <w:name w:val="Caption"/>
    <w:basedOn w:val="Normal"/>
    <w:qFormat/>
    <w:rsid w:val="0029202d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Indexheading">
    <w:name w:val="index heading"/>
    <w:basedOn w:val="Normal"/>
    <w:qFormat/>
    <w:rsid w:val="0029202d"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1"/>
    <w:qFormat/>
    <w:rsid w:val="00f21123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uiPriority w:val="99"/>
    <w:semiHidden/>
    <w:unhideWhenUsed/>
    <w:qFormat/>
    <w:rsid w:val="00f67b21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c92f94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1FB3C3-FEF3-4038-AF2E-A426B00C6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Application>LibreOffice/7.5.6.2$Linux_X86_64 LibreOffice_project/50$Build-2</Application>
  <AppVersion>15.0000</AppVersion>
  <Pages>3</Pages>
  <Words>821</Words>
  <Characters>5718</Characters>
  <CharactersWithSpaces>6520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2024-01-21T12:41:00Z</dcterms:created>
  <dc:creator>Name</dc:creator>
  <dc:description/>
  <dc:language>ru-RU</dc:language>
  <cp:lastModifiedBy/>
  <cp:lastPrinted>2024-07-30T08:50:38Z</cp:lastPrinted>
  <dcterms:modified xsi:type="dcterms:W3CDTF">2024-07-30T11:13:38Z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